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0C7C8A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B30726" w:rsidRPr="00B30726">
        <w:rPr>
          <w:rFonts w:ascii="Arial Narrow" w:hAnsi="Arial Narrow"/>
          <w:sz w:val="36"/>
          <w:szCs w:val="36"/>
        </w:rPr>
        <w:t>Замена пяти физически-изношенных камер с выключателями нагрузки на новые в ТП-68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C86195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775C5A">
        <w:rPr>
          <w:rFonts w:ascii="Arial Narrow" w:hAnsi="Arial Narrow"/>
          <w:sz w:val="36"/>
          <w:szCs w:val="36"/>
        </w:rPr>
        <w:t>2021</w:t>
      </w:r>
      <w:r w:rsidRPr="00B549EC">
        <w:rPr>
          <w:rFonts w:ascii="Arial Narrow" w:hAnsi="Arial Narrow"/>
          <w:sz w:val="36"/>
          <w:szCs w:val="36"/>
        </w:rPr>
        <w:t>-</w:t>
      </w:r>
      <w:r w:rsidR="006A1200">
        <w:rPr>
          <w:rFonts w:ascii="Arial Narrow" w:hAnsi="Arial Narrow"/>
          <w:sz w:val="36"/>
          <w:szCs w:val="36"/>
        </w:rPr>
        <w:t>14</w:t>
      </w:r>
      <w:r w:rsidRPr="00B549EC">
        <w:rPr>
          <w:rFonts w:ascii="Arial Narrow" w:hAnsi="Arial Narrow"/>
          <w:sz w:val="36"/>
          <w:szCs w:val="36"/>
        </w:rPr>
        <w:t>)</w:t>
      </w:r>
      <w:r w:rsidR="00D255FA">
        <w:rPr>
          <w:rFonts w:ascii="Arial Narrow" w:hAnsi="Arial Narrow"/>
          <w:sz w:val="36"/>
          <w:szCs w:val="36"/>
        </w:rPr>
        <w:t xml:space="preserve"> 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9B4316" w:rsidRDefault="009B4316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lastRenderedPageBreak/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9B4316">
        <w:rPr>
          <w:rFonts w:ascii="Arial Narrow" w:hAnsi="Arial Narrow"/>
          <w:sz w:val="28"/>
          <w:szCs w:val="28"/>
        </w:rPr>
        <w:t xml:space="preserve">установка в </w:t>
      </w:r>
      <w:r w:rsidR="006A1200">
        <w:rPr>
          <w:rFonts w:ascii="Arial Narrow" w:hAnsi="Arial Narrow"/>
          <w:sz w:val="28"/>
          <w:szCs w:val="28"/>
        </w:rPr>
        <w:t>Т</w:t>
      </w:r>
      <w:r w:rsidR="00606CE7">
        <w:rPr>
          <w:rFonts w:ascii="Arial Narrow" w:hAnsi="Arial Narrow"/>
          <w:sz w:val="28"/>
          <w:szCs w:val="28"/>
        </w:rPr>
        <w:t>П-</w:t>
      </w:r>
      <w:r w:rsidR="006A1200">
        <w:rPr>
          <w:rFonts w:ascii="Arial Narrow" w:hAnsi="Arial Narrow"/>
          <w:sz w:val="28"/>
          <w:szCs w:val="28"/>
        </w:rPr>
        <w:t>68</w:t>
      </w:r>
      <w:r w:rsidR="00D255FA">
        <w:rPr>
          <w:rFonts w:ascii="Arial Narrow" w:hAnsi="Arial Narrow"/>
          <w:sz w:val="28"/>
          <w:szCs w:val="28"/>
        </w:rPr>
        <w:t xml:space="preserve"> </w:t>
      </w:r>
      <w:r w:rsidR="006A1200">
        <w:rPr>
          <w:rFonts w:ascii="Arial Narrow" w:hAnsi="Arial Narrow"/>
          <w:sz w:val="28"/>
          <w:szCs w:val="28"/>
        </w:rPr>
        <w:t>пят</w:t>
      </w:r>
      <w:r w:rsidR="00606CE7">
        <w:rPr>
          <w:rFonts w:ascii="Arial Narrow" w:hAnsi="Arial Narrow"/>
          <w:sz w:val="28"/>
          <w:szCs w:val="28"/>
        </w:rPr>
        <w:t xml:space="preserve">и </w:t>
      </w:r>
      <w:r w:rsidR="00B30726">
        <w:rPr>
          <w:rFonts w:ascii="Arial Narrow" w:hAnsi="Arial Narrow"/>
          <w:sz w:val="28"/>
          <w:szCs w:val="28"/>
        </w:rPr>
        <w:t xml:space="preserve">новых </w:t>
      </w:r>
      <w:r w:rsidR="00D255FA">
        <w:rPr>
          <w:rFonts w:ascii="Arial Narrow" w:hAnsi="Arial Narrow"/>
          <w:sz w:val="28"/>
          <w:szCs w:val="28"/>
        </w:rPr>
        <w:t xml:space="preserve">камер </w:t>
      </w:r>
      <w:r w:rsidR="00606CE7">
        <w:rPr>
          <w:rFonts w:ascii="Arial Narrow" w:hAnsi="Arial Narrow"/>
          <w:sz w:val="28"/>
          <w:szCs w:val="28"/>
        </w:rPr>
        <w:t xml:space="preserve">с выключателями </w:t>
      </w:r>
      <w:r w:rsidR="00B30726">
        <w:rPr>
          <w:rFonts w:ascii="Arial Narrow" w:hAnsi="Arial Narrow"/>
          <w:sz w:val="28"/>
          <w:szCs w:val="28"/>
        </w:rPr>
        <w:t xml:space="preserve">нагрузки </w:t>
      </w:r>
      <w:r w:rsidR="00606CE7">
        <w:rPr>
          <w:rFonts w:ascii="Arial Narrow" w:hAnsi="Arial Narrow"/>
          <w:sz w:val="28"/>
          <w:szCs w:val="28"/>
        </w:rPr>
        <w:t xml:space="preserve">взамен </w:t>
      </w:r>
      <w:r w:rsidR="00B30726">
        <w:rPr>
          <w:rFonts w:ascii="Arial Narrow" w:hAnsi="Arial Narrow"/>
          <w:sz w:val="28"/>
          <w:szCs w:val="28"/>
        </w:rPr>
        <w:t xml:space="preserve">старых, физически изношенных </w:t>
      </w:r>
      <w:r w:rsidR="00606CE7">
        <w:rPr>
          <w:rFonts w:ascii="Arial Narrow" w:hAnsi="Arial Narrow"/>
          <w:sz w:val="28"/>
          <w:szCs w:val="28"/>
        </w:rPr>
        <w:t>камер с выключателями</w:t>
      </w:r>
      <w:r w:rsidR="00852F2A">
        <w:rPr>
          <w:rFonts w:ascii="Arial Narrow" w:hAnsi="Arial Narrow"/>
          <w:sz w:val="28"/>
          <w:szCs w:val="28"/>
        </w:rPr>
        <w:t xml:space="preserve"> нагрузки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606CE7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606CE7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2E007A" w:rsidRPr="004E3DA9" w:rsidRDefault="004E3DA9" w:rsidP="004E3DA9">
      <w:pPr>
        <w:pStyle w:val="3"/>
        <w:spacing w:after="0"/>
        <w:ind w:left="709" w:firstLine="0"/>
        <w:rPr>
          <w:rFonts w:ascii="Arial Narrow" w:hAnsi="Arial Narrow" w:cstheme="minorBidi"/>
        </w:rPr>
      </w:pPr>
      <w:r w:rsidRPr="004E3DA9">
        <w:rPr>
          <w:rFonts w:ascii="Arial Narrow" w:hAnsi="Arial Narrow" w:cstheme="minorBidi"/>
        </w:rPr>
        <w:t xml:space="preserve">Требуется замена камер с </w:t>
      </w:r>
      <w:r w:rsidR="006A1200">
        <w:rPr>
          <w:rFonts w:ascii="Arial Narrow" w:hAnsi="Arial Narrow" w:cstheme="minorBidi"/>
        </w:rPr>
        <w:t xml:space="preserve">выключателями </w:t>
      </w:r>
      <w:r w:rsidR="00852F2A">
        <w:rPr>
          <w:rFonts w:ascii="Arial Narrow" w:hAnsi="Arial Narrow" w:cstheme="minorBidi"/>
        </w:rPr>
        <w:t xml:space="preserve">нагрузки </w:t>
      </w:r>
      <w:r w:rsidR="006A1200">
        <w:rPr>
          <w:rFonts w:ascii="Arial Narrow" w:hAnsi="Arial Narrow" w:cstheme="minorBidi"/>
        </w:rPr>
        <w:t>в РУ-6 кВ Т</w:t>
      </w:r>
      <w:r w:rsidRPr="004E3DA9">
        <w:rPr>
          <w:rFonts w:ascii="Arial Narrow" w:hAnsi="Arial Narrow" w:cstheme="minorBidi"/>
        </w:rPr>
        <w:t>П-</w:t>
      </w:r>
      <w:r w:rsidR="006A1200">
        <w:rPr>
          <w:rFonts w:ascii="Arial Narrow" w:hAnsi="Arial Narrow" w:cstheme="minorBidi"/>
        </w:rPr>
        <w:t>68</w:t>
      </w:r>
      <w:r w:rsidRPr="004E3DA9">
        <w:rPr>
          <w:rFonts w:ascii="Arial Narrow" w:hAnsi="Arial Narrow" w:cstheme="minorBidi"/>
        </w:rPr>
        <w:t xml:space="preserve"> на современные камеры.</w:t>
      </w:r>
      <w:r w:rsidR="00D450B4" w:rsidRPr="004E3DA9">
        <w:rPr>
          <w:rFonts w:ascii="Arial Narrow" w:hAnsi="Arial Narrow" w:cstheme="minorBidi"/>
        </w:rPr>
        <w:t xml:space="preserve"> </w:t>
      </w:r>
    </w:p>
    <w:p w:rsidR="00BC179F" w:rsidRPr="009B4316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  <w:highlight w:val="yellow"/>
        </w:rPr>
      </w:pPr>
    </w:p>
    <w:p w:rsidR="00E32917" w:rsidRPr="009B4316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0C7C8A" w:rsidRDefault="000C7C8A" w:rsidP="000C7C8A">
      <w:pPr>
        <w:pStyle w:val="a7"/>
        <w:rPr>
          <w:rFonts w:ascii="Arial Narrow" w:hAnsi="Arial Narrow"/>
          <w:sz w:val="28"/>
          <w:szCs w:val="28"/>
        </w:rPr>
      </w:pPr>
      <w:bookmarkStart w:id="0" w:name="_GoBack"/>
      <w:bookmarkEnd w:id="0"/>
      <w:r>
        <w:rPr>
          <w:rFonts w:ascii="Arial Narrow" w:hAnsi="Arial Narrow"/>
          <w:sz w:val="28"/>
          <w:szCs w:val="28"/>
        </w:rPr>
        <w:t>Перенесено на более поздний период.</w:t>
      </w:r>
    </w:p>
    <w:p w:rsidR="00D140EC" w:rsidRPr="009B4316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463F8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463F80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4598" w:type="pct"/>
        <w:jc w:val="center"/>
        <w:tblLook w:val="04A0" w:firstRow="1" w:lastRow="0" w:firstColumn="1" w:lastColumn="0" w:noHBand="0" w:noVBand="1"/>
      </w:tblPr>
      <w:tblGrid>
        <w:gridCol w:w="3823"/>
        <w:gridCol w:w="4783"/>
        <w:gridCol w:w="4783"/>
      </w:tblGrid>
      <w:tr w:rsidR="004E3DA9" w:rsidRPr="00D255FA" w:rsidTr="0060678D">
        <w:trPr>
          <w:trHeight w:val="70"/>
          <w:jc w:val="center"/>
        </w:trPr>
        <w:tc>
          <w:tcPr>
            <w:tcW w:w="1428" w:type="pct"/>
            <w:shd w:val="clear" w:color="auto" w:fill="F2F2F2" w:themeFill="background1" w:themeFillShade="F2"/>
            <w:vAlign w:val="center"/>
          </w:tcPr>
          <w:p w:rsidR="004E3DA9" w:rsidRPr="004E3DA9" w:rsidRDefault="004E3DA9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1786" w:type="pct"/>
            <w:shd w:val="clear" w:color="auto" w:fill="F2F2F2" w:themeFill="background1" w:themeFillShade="F2"/>
          </w:tcPr>
          <w:p w:rsidR="004E3DA9" w:rsidRPr="004E3DA9" w:rsidRDefault="004E3DA9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 xml:space="preserve">До реконструкции </w:t>
            </w:r>
          </w:p>
        </w:tc>
        <w:tc>
          <w:tcPr>
            <w:tcW w:w="1786" w:type="pct"/>
            <w:shd w:val="clear" w:color="auto" w:fill="F2F2F2" w:themeFill="background1" w:themeFillShade="F2"/>
            <w:vAlign w:val="center"/>
          </w:tcPr>
          <w:p w:rsidR="004E3DA9" w:rsidRPr="004E3DA9" w:rsidRDefault="004E3DA9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>После реконструкции</w:t>
            </w:r>
          </w:p>
        </w:tc>
      </w:tr>
      <w:tr w:rsidR="004E3DA9" w:rsidRPr="00D255FA" w:rsidTr="0060678D">
        <w:trPr>
          <w:trHeight w:val="70"/>
          <w:jc w:val="center"/>
        </w:trPr>
        <w:tc>
          <w:tcPr>
            <w:tcW w:w="1428" w:type="pct"/>
          </w:tcPr>
          <w:p w:rsidR="004E3DA9" w:rsidRPr="004E3DA9" w:rsidRDefault="004E3DA9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1786" w:type="pct"/>
          </w:tcPr>
          <w:p w:rsidR="004E3DA9" w:rsidRPr="004E3DA9" w:rsidRDefault="004E3DA9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786" w:type="pct"/>
            <w:vAlign w:val="center"/>
          </w:tcPr>
          <w:p w:rsidR="004E3DA9" w:rsidRPr="004E3DA9" w:rsidRDefault="004E3DA9" w:rsidP="004E3DA9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</w:tr>
      <w:tr w:rsidR="004E3DA9" w:rsidRPr="00463F80" w:rsidTr="0060678D">
        <w:trPr>
          <w:jc w:val="center"/>
        </w:trPr>
        <w:tc>
          <w:tcPr>
            <w:tcW w:w="1428" w:type="pct"/>
            <w:shd w:val="clear" w:color="auto" w:fill="auto"/>
          </w:tcPr>
          <w:p w:rsidR="004E3DA9" w:rsidRPr="0060678D" w:rsidRDefault="004E3DA9" w:rsidP="004E3DA9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60678D">
              <w:rPr>
                <w:rFonts w:ascii="Arial Narrow" w:hAnsi="Arial Narrow" w:cstheme="minorBidi"/>
                <w:sz w:val="20"/>
                <w:szCs w:val="20"/>
              </w:rPr>
              <w:t>Тип и количество коммутационных аппаратов</w:t>
            </w:r>
          </w:p>
        </w:tc>
        <w:tc>
          <w:tcPr>
            <w:tcW w:w="1786" w:type="pct"/>
          </w:tcPr>
          <w:p w:rsidR="004E3DA9" w:rsidRPr="0060678D" w:rsidRDefault="00852F2A" w:rsidP="00852F2A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выключатели нагрузки - </w:t>
            </w:r>
            <w:r w:rsidR="006A1200">
              <w:rPr>
                <w:rFonts w:ascii="Arial Narrow" w:hAnsi="Arial Narrow" w:cstheme="minorBidi"/>
                <w:sz w:val="20"/>
                <w:szCs w:val="20"/>
              </w:rPr>
              <w:t>5</w:t>
            </w:r>
            <w:r w:rsidR="004E3DA9" w:rsidRPr="0060678D">
              <w:rPr>
                <w:rFonts w:ascii="Arial Narrow" w:hAnsi="Arial Narrow" w:cstheme="minorBidi"/>
                <w:sz w:val="20"/>
                <w:szCs w:val="20"/>
              </w:rPr>
              <w:t xml:space="preserve"> шт.</w:t>
            </w:r>
          </w:p>
        </w:tc>
        <w:tc>
          <w:tcPr>
            <w:tcW w:w="1786" w:type="pct"/>
            <w:vAlign w:val="center"/>
          </w:tcPr>
          <w:p w:rsidR="004E3DA9" w:rsidRPr="00463F80" w:rsidRDefault="00852F2A" w:rsidP="00852F2A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выключатели </w:t>
            </w:r>
            <w:r w:rsidR="00B30726">
              <w:rPr>
                <w:rFonts w:ascii="Arial Narrow" w:hAnsi="Arial Narrow" w:cstheme="minorBidi"/>
                <w:sz w:val="20"/>
                <w:szCs w:val="20"/>
              </w:rPr>
              <w:t>нагрузки</w:t>
            </w:r>
            <w:r w:rsidR="006A1200">
              <w:rPr>
                <w:rFonts w:ascii="Arial Narrow" w:hAnsi="Arial Narrow" w:cstheme="minorBidi"/>
                <w:sz w:val="20"/>
                <w:szCs w:val="20"/>
              </w:rPr>
              <w:t>- 5 шт.</w:t>
            </w:r>
          </w:p>
        </w:tc>
      </w:tr>
    </w:tbl>
    <w:p w:rsidR="00E32917" w:rsidRPr="00463F80" w:rsidRDefault="00E32917" w:rsidP="00E32917">
      <w:pPr>
        <w:pStyle w:val="a7"/>
        <w:rPr>
          <w:rFonts w:ascii="Arial Narrow" w:hAnsi="Arial Narrow"/>
          <w:sz w:val="28"/>
          <w:szCs w:val="28"/>
          <w:highlight w:val="yellow"/>
        </w:rPr>
      </w:pPr>
    </w:p>
    <w:p w:rsidR="00E32917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Pr="009B4316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134D2B">
        <w:rPr>
          <w:rFonts w:ascii="Arial Narrow" w:hAnsi="Arial Narrow"/>
          <w:sz w:val="28"/>
          <w:szCs w:val="28"/>
        </w:rPr>
        <w:t>365,61</w:t>
      </w:r>
      <w:r w:rsidR="004F6AB5" w:rsidRPr="009B4316">
        <w:rPr>
          <w:rFonts w:ascii="Arial Narrow" w:hAnsi="Arial Narrow"/>
          <w:sz w:val="28"/>
          <w:szCs w:val="28"/>
        </w:rPr>
        <w:t xml:space="preserve"> тыс. руб. без НДС (</w:t>
      </w:r>
      <w:r w:rsidR="00134D2B">
        <w:rPr>
          <w:rFonts w:ascii="Arial Narrow" w:hAnsi="Arial Narrow"/>
          <w:sz w:val="28"/>
          <w:szCs w:val="28"/>
        </w:rPr>
        <w:t>438,73</w:t>
      </w:r>
      <w:r w:rsidRPr="009B4316">
        <w:rPr>
          <w:rFonts w:ascii="Arial Narrow" w:hAnsi="Arial Narrow"/>
          <w:sz w:val="28"/>
          <w:szCs w:val="28"/>
        </w:rPr>
        <w:t xml:space="preserve"> тыс. руб. с НДС</w:t>
      </w:r>
      <w:r w:rsidR="004F6AB5" w:rsidRPr="009B4316">
        <w:rPr>
          <w:rFonts w:ascii="Arial Narrow" w:hAnsi="Arial Narrow"/>
          <w:sz w:val="28"/>
          <w:szCs w:val="28"/>
        </w:rPr>
        <w:t>)</w:t>
      </w:r>
      <w:r w:rsidRPr="009B4316">
        <w:rPr>
          <w:rFonts w:ascii="Arial Narrow" w:hAnsi="Arial Narrow"/>
          <w:sz w:val="28"/>
          <w:szCs w:val="28"/>
        </w:rPr>
        <w:t>.</w:t>
      </w:r>
      <w:r w:rsidR="002D3239" w:rsidRPr="009B4316">
        <w:rPr>
          <w:rFonts w:ascii="Arial Narrow" w:hAnsi="Arial Narrow"/>
          <w:sz w:val="28"/>
          <w:szCs w:val="28"/>
        </w:rPr>
        <w:t xml:space="preserve"> </w:t>
      </w:r>
    </w:p>
    <w:p w:rsidR="00170A5C" w:rsidRPr="009B4316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 w:rsidRPr="009B4316">
        <w:rPr>
          <w:rFonts w:ascii="Arial Narrow" w:hAnsi="Arial Narrow"/>
          <w:sz w:val="28"/>
          <w:szCs w:val="28"/>
        </w:rPr>
        <w:t xml:space="preserve">сформирована </w:t>
      </w:r>
      <w:r w:rsidR="005253CD" w:rsidRPr="009B4316">
        <w:rPr>
          <w:rFonts w:ascii="Arial Narrow" w:hAnsi="Arial Narrow"/>
          <w:sz w:val="28"/>
          <w:szCs w:val="28"/>
        </w:rPr>
        <w:t>на основании</w:t>
      </w:r>
      <w:r w:rsidR="00170A5C" w:rsidRPr="009B4316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 w:rsidRPr="009B4316">
        <w:rPr>
          <w:rFonts w:ascii="Arial Narrow" w:hAnsi="Arial Narrow"/>
          <w:sz w:val="28"/>
          <w:szCs w:val="28"/>
        </w:rPr>
        <w:t>ого сметного расчета №</w:t>
      </w:r>
      <w:r w:rsidR="009B4316" w:rsidRPr="009B4316">
        <w:rPr>
          <w:rFonts w:ascii="Arial Narrow" w:hAnsi="Arial Narrow"/>
          <w:sz w:val="28"/>
          <w:szCs w:val="28"/>
        </w:rPr>
        <w:t>202</w:t>
      </w:r>
      <w:r w:rsidR="0060678D">
        <w:rPr>
          <w:rFonts w:ascii="Arial Narrow" w:hAnsi="Arial Narrow"/>
          <w:sz w:val="28"/>
          <w:szCs w:val="28"/>
        </w:rPr>
        <w:t>1</w:t>
      </w:r>
      <w:r w:rsidR="009B4316" w:rsidRPr="009B4316">
        <w:rPr>
          <w:rFonts w:ascii="Arial Narrow" w:hAnsi="Arial Narrow"/>
          <w:sz w:val="28"/>
          <w:szCs w:val="28"/>
        </w:rPr>
        <w:t>-</w:t>
      </w:r>
      <w:r w:rsidR="006A1200">
        <w:rPr>
          <w:rFonts w:ascii="Arial Narrow" w:hAnsi="Arial Narrow"/>
          <w:sz w:val="28"/>
          <w:szCs w:val="28"/>
        </w:rPr>
        <w:t>14</w:t>
      </w:r>
      <w:r w:rsidR="00170A5C" w:rsidRPr="009B4316">
        <w:rPr>
          <w:rFonts w:ascii="Arial Narrow" w:hAnsi="Arial Narrow"/>
          <w:sz w:val="28"/>
          <w:szCs w:val="28"/>
        </w:rPr>
        <w:t>, составленного в уровне цен 3 кв. 2018 г.</w:t>
      </w:r>
      <w:r w:rsidR="00783153" w:rsidRPr="009B4316">
        <w:rPr>
          <w:rFonts w:ascii="Arial Narrow" w:hAnsi="Arial Narrow"/>
          <w:sz w:val="28"/>
          <w:szCs w:val="28"/>
        </w:rPr>
        <w:t>, с учетом индекс</w:t>
      </w:r>
      <w:r w:rsidR="00837C70" w:rsidRPr="009B4316">
        <w:rPr>
          <w:rFonts w:ascii="Arial Narrow" w:hAnsi="Arial Narrow"/>
          <w:sz w:val="28"/>
          <w:szCs w:val="28"/>
        </w:rPr>
        <w:t>ов</w:t>
      </w:r>
      <w:r w:rsidR="00783153" w:rsidRPr="009B4316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 w:rsidRPr="009B4316">
        <w:rPr>
          <w:rFonts w:ascii="Arial Narrow" w:hAnsi="Arial Narrow"/>
          <w:sz w:val="28"/>
          <w:szCs w:val="28"/>
        </w:rPr>
        <w:t>:</w:t>
      </w:r>
      <w:r w:rsidR="00783153" w:rsidRPr="009B4316">
        <w:rPr>
          <w:rFonts w:ascii="Arial Narrow" w:hAnsi="Arial Narrow"/>
          <w:sz w:val="28"/>
          <w:szCs w:val="28"/>
        </w:rPr>
        <w:t xml:space="preserve"> </w:t>
      </w:r>
      <w:r w:rsidR="00170A5C" w:rsidRPr="009B4316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RPr="009B4316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9B4316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Сметная стоимость, тыс. руб.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RPr="009B4316" w:rsidTr="00030EAC">
        <w:trPr>
          <w:trHeight w:val="70"/>
        </w:trPr>
        <w:tc>
          <w:tcPr>
            <w:tcW w:w="4541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RPr="009B4316" w:rsidTr="006A1200">
        <w:trPr>
          <w:trHeight w:val="70"/>
        </w:trPr>
        <w:tc>
          <w:tcPr>
            <w:tcW w:w="4541" w:type="dxa"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134D2B" w:rsidRPr="009B4316" w:rsidTr="006A1200">
        <w:trPr>
          <w:trHeight w:val="315"/>
        </w:trPr>
        <w:tc>
          <w:tcPr>
            <w:tcW w:w="4541" w:type="dxa"/>
            <w:vAlign w:val="center"/>
          </w:tcPr>
          <w:p w:rsidR="00134D2B" w:rsidRPr="009B4316" w:rsidRDefault="00134D2B" w:rsidP="00134D2B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123,11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147,58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39,43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310,12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372,14</w:t>
            </w:r>
          </w:p>
        </w:tc>
      </w:tr>
      <w:tr w:rsidR="00134D2B" w:rsidRPr="009B4316" w:rsidTr="00AC664B">
        <w:trPr>
          <w:trHeight w:val="315"/>
        </w:trPr>
        <w:tc>
          <w:tcPr>
            <w:tcW w:w="4541" w:type="dxa"/>
            <w:vAlign w:val="center"/>
          </w:tcPr>
          <w:p w:rsidR="00134D2B" w:rsidRPr="009B4316" w:rsidRDefault="00134D2B" w:rsidP="00134D2B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145,14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173,99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46,48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365,61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D2B" w:rsidRPr="00134D2B" w:rsidRDefault="00134D2B" w:rsidP="00134D2B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34D2B">
              <w:rPr>
                <w:rFonts w:ascii="Arial Narrow" w:hAnsi="Arial Narrow" w:cstheme="minorBidi"/>
                <w:sz w:val="20"/>
                <w:szCs w:val="20"/>
              </w:rPr>
              <w:t>438,72922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  <w:r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5253CD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2D3239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425BCB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</w:p>
    <w:p w:rsidR="006A1200" w:rsidRDefault="006A1200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60678D" w:rsidRPr="009B4316" w:rsidRDefault="0060678D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9105B0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Pr="009B4316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lastRenderedPageBreak/>
        <w:t xml:space="preserve">Источниками финансирования проекта являются средства, учтенные в индивидуальном тарифе </w:t>
      </w:r>
      <w:r w:rsidR="00BC179F" w:rsidRPr="009B4316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«Александровэлектросеть»</w:t>
      </w:r>
      <w:r w:rsidRPr="009B4316"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Pr="009B4316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60678D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60678D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 w:rsidRPr="0060678D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60678D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3C1FB2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 w:rsidRPr="0060678D">
        <w:rPr>
          <w:rFonts w:ascii="Arial Narrow" w:hAnsi="Arial Narrow"/>
          <w:sz w:val="28"/>
          <w:szCs w:val="28"/>
        </w:rPr>
        <w:t>Реализация проекта</w:t>
      </w:r>
      <w:r w:rsidR="0060678D" w:rsidRPr="0060678D">
        <w:rPr>
          <w:rFonts w:ascii="Arial Narrow" w:hAnsi="Arial Narrow"/>
          <w:sz w:val="28"/>
          <w:szCs w:val="28"/>
        </w:rPr>
        <w:t xml:space="preserve"> обеспечить надежность (бесперебойность) электроснабжения потребителей г. Александрова</w:t>
      </w:r>
      <w:r w:rsidR="00080D32" w:rsidRPr="0060678D">
        <w:rPr>
          <w:rFonts w:ascii="Arial Narrow" w:hAnsi="Arial Narrow"/>
          <w:sz w:val="28"/>
          <w:szCs w:val="28"/>
        </w:rPr>
        <w:t>.</w:t>
      </w:r>
      <w:r w:rsidR="00080D32">
        <w:rPr>
          <w:rFonts w:ascii="Arial Narrow" w:hAnsi="Arial Narrow"/>
          <w:sz w:val="28"/>
          <w:szCs w:val="28"/>
        </w:rPr>
        <w:t xml:space="preserve"> 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2B9" w:rsidRDefault="009652B9" w:rsidP="00C77D51">
      <w:pPr>
        <w:spacing w:after="0" w:line="240" w:lineRule="auto"/>
      </w:pPr>
      <w:r>
        <w:separator/>
      </w:r>
    </w:p>
  </w:endnote>
  <w:endnote w:type="continuationSeparator" w:id="0">
    <w:p w:rsidR="009652B9" w:rsidRDefault="009652B9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2B9" w:rsidRDefault="009652B9" w:rsidP="00C77D51">
      <w:pPr>
        <w:spacing w:after="0" w:line="240" w:lineRule="auto"/>
      </w:pPr>
      <w:r>
        <w:separator/>
      </w:r>
    </w:p>
  </w:footnote>
  <w:footnote w:type="continuationSeparator" w:id="0">
    <w:p w:rsidR="009652B9" w:rsidRDefault="009652B9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«Александровэлектросеть»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707AE"/>
    <w:rsid w:val="00080D32"/>
    <w:rsid w:val="00086DD8"/>
    <w:rsid w:val="000B1563"/>
    <w:rsid w:val="000B567A"/>
    <w:rsid w:val="000C2311"/>
    <w:rsid w:val="000C7C8A"/>
    <w:rsid w:val="000F125F"/>
    <w:rsid w:val="00102C89"/>
    <w:rsid w:val="00134D2B"/>
    <w:rsid w:val="00153496"/>
    <w:rsid w:val="00170A5C"/>
    <w:rsid w:val="00186671"/>
    <w:rsid w:val="001C28FC"/>
    <w:rsid w:val="001D35E2"/>
    <w:rsid w:val="001D7547"/>
    <w:rsid w:val="001E72E7"/>
    <w:rsid w:val="0020530D"/>
    <w:rsid w:val="002129B0"/>
    <w:rsid w:val="00216BB8"/>
    <w:rsid w:val="00285026"/>
    <w:rsid w:val="002A21A8"/>
    <w:rsid w:val="002A2A93"/>
    <w:rsid w:val="002A437D"/>
    <w:rsid w:val="002D3239"/>
    <w:rsid w:val="002E007A"/>
    <w:rsid w:val="002E74AD"/>
    <w:rsid w:val="003536B9"/>
    <w:rsid w:val="00362932"/>
    <w:rsid w:val="00397B6A"/>
    <w:rsid w:val="003C1FB2"/>
    <w:rsid w:val="003D18C9"/>
    <w:rsid w:val="00425BCB"/>
    <w:rsid w:val="004336E3"/>
    <w:rsid w:val="0043629E"/>
    <w:rsid w:val="00446B9F"/>
    <w:rsid w:val="00463F80"/>
    <w:rsid w:val="00483210"/>
    <w:rsid w:val="004B463E"/>
    <w:rsid w:val="004C18E7"/>
    <w:rsid w:val="004C4A27"/>
    <w:rsid w:val="004E3DA9"/>
    <w:rsid w:val="004F6AB5"/>
    <w:rsid w:val="00506BE2"/>
    <w:rsid w:val="00515E27"/>
    <w:rsid w:val="005253CD"/>
    <w:rsid w:val="00535129"/>
    <w:rsid w:val="005364C1"/>
    <w:rsid w:val="00563B16"/>
    <w:rsid w:val="005A0D2F"/>
    <w:rsid w:val="005C3FDE"/>
    <w:rsid w:val="005E164A"/>
    <w:rsid w:val="005E52B3"/>
    <w:rsid w:val="005F438A"/>
    <w:rsid w:val="0060678D"/>
    <w:rsid w:val="00606CE7"/>
    <w:rsid w:val="00613431"/>
    <w:rsid w:val="006206C8"/>
    <w:rsid w:val="006718ED"/>
    <w:rsid w:val="00690032"/>
    <w:rsid w:val="006A1200"/>
    <w:rsid w:val="006B53E8"/>
    <w:rsid w:val="006D42A9"/>
    <w:rsid w:val="006D4F24"/>
    <w:rsid w:val="006E4C5A"/>
    <w:rsid w:val="007155D3"/>
    <w:rsid w:val="0075764C"/>
    <w:rsid w:val="007608B3"/>
    <w:rsid w:val="00763865"/>
    <w:rsid w:val="00775C5A"/>
    <w:rsid w:val="00783153"/>
    <w:rsid w:val="007A1278"/>
    <w:rsid w:val="007D0C6D"/>
    <w:rsid w:val="007E5407"/>
    <w:rsid w:val="00801E42"/>
    <w:rsid w:val="00837C70"/>
    <w:rsid w:val="00852F2A"/>
    <w:rsid w:val="008A29FF"/>
    <w:rsid w:val="008C3B54"/>
    <w:rsid w:val="008E48A8"/>
    <w:rsid w:val="008F00E5"/>
    <w:rsid w:val="00903DD0"/>
    <w:rsid w:val="00906CA4"/>
    <w:rsid w:val="009105B0"/>
    <w:rsid w:val="00912575"/>
    <w:rsid w:val="00956BE6"/>
    <w:rsid w:val="009652B9"/>
    <w:rsid w:val="009B4316"/>
    <w:rsid w:val="009F09A1"/>
    <w:rsid w:val="00A25FB5"/>
    <w:rsid w:val="00A56BFB"/>
    <w:rsid w:val="00A85DC8"/>
    <w:rsid w:val="00AA1DA5"/>
    <w:rsid w:val="00AB6ECE"/>
    <w:rsid w:val="00AC3436"/>
    <w:rsid w:val="00B01683"/>
    <w:rsid w:val="00B30726"/>
    <w:rsid w:val="00B51FA8"/>
    <w:rsid w:val="00B549EC"/>
    <w:rsid w:val="00B660C3"/>
    <w:rsid w:val="00B817EC"/>
    <w:rsid w:val="00BA6D3A"/>
    <w:rsid w:val="00BC179F"/>
    <w:rsid w:val="00BD6375"/>
    <w:rsid w:val="00C210DB"/>
    <w:rsid w:val="00C23E9C"/>
    <w:rsid w:val="00C77D51"/>
    <w:rsid w:val="00C86195"/>
    <w:rsid w:val="00C90383"/>
    <w:rsid w:val="00C95AC9"/>
    <w:rsid w:val="00C97EA1"/>
    <w:rsid w:val="00CA4C74"/>
    <w:rsid w:val="00CB124D"/>
    <w:rsid w:val="00CC48F5"/>
    <w:rsid w:val="00CD3165"/>
    <w:rsid w:val="00D140EC"/>
    <w:rsid w:val="00D17BFA"/>
    <w:rsid w:val="00D255FA"/>
    <w:rsid w:val="00D450B4"/>
    <w:rsid w:val="00D4795B"/>
    <w:rsid w:val="00D64DF9"/>
    <w:rsid w:val="00D82CB7"/>
    <w:rsid w:val="00D87C25"/>
    <w:rsid w:val="00D927EF"/>
    <w:rsid w:val="00D94F02"/>
    <w:rsid w:val="00DE74E7"/>
    <w:rsid w:val="00DF1AF2"/>
    <w:rsid w:val="00E104EC"/>
    <w:rsid w:val="00E12140"/>
    <w:rsid w:val="00E32917"/>
    <w:rsid w:val="00E36B28"/>
    <w:rsid w:val="00E518E4"/>
    <w:rsid w:val="00E55720"/>
    <w:rsid w:val="00E71F49"/>
    <w:rsid w:val="00EA53F6"/>
    <w:rsid w:val="00EC66C8"/>
    <w:rsid w:val="00ED04DD"/>
    <w:rsid w:val="00F70154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08C505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329EE-946D-477A-9D8E-E5F4D645B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3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20</cp:revision>
  <cp:lastPrinted>2018-12-19T08:25:00Z</cp:lastPrinted>
  <dcterms:created xsi:type="dcterms:W3CDTF">2018-12-19T08:24:00Z</dcterms:created>
  <dcterms:modified xsi:type="dcterms:W3CDTF">2022-02-25T10:24:00Z</dcterms:modified>
</cp:coreProperties>
</file>